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E9" w:rsidRDefault="00AB78E9" w:rsidP="00AB78E9">
      <w:pPr>
        <w:widowControl w:val="0"/>
        <w:autoSpaceDE w:val="0"/>
        <w:autoSpaceDN w:val="0"/>
        <w:spacing w:before="1" w:after="0" w:line="240" w:lineRule="auto"/>
        <w:ind w:left="542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Аннотация</w:t>
      </w:r>
    </w:p>
    <w:p w:rsidR="00AB78E9" w:rsidRDefault="00AB78E9" w:rsidP="00AB78E9">
      <w:pPr>
        <w:widowControl w:val="0"/>
        <w:autoSpaceDE w:val="0"/>
        <w:autoSpaceDN w:val="0"/>
        <w:spacing w:before="28" w:after="0" w:line="240" w:lineRule="auto"/>
        <w:ind w:left="542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</w:t>
      </w:r>
      <w:r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рабочей</w:t>
      </w:r>
      <w:r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программе</w:t>
      </w:r>
    </w:p>
    <w:p w:rsidR="00AB78E9" w:rsidRDefault="00AB78E9" w:rsidP="00AB78E9">
      <w:pPr>
        <w:widowControl w:val="0"/>
        <w:autoSpaceDE w:val="0"/>
        <w:autoSpaceDN w:val="0"/>
        <w:spacing w:before="59" w:after="0" w:line="240" w:lineRule="auto"/>
        <w:ind w:left="542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математике</w:t>
      </w:r>
      <w:r>
        <w:rPr>
          <w:rFonts w:ascii="Times New Roman" w:eastAsia="Times New Roman" w:hAnsi="Times New Roman" w:cs="Times New Roman"/>
          <w:b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10-11</w:t>
      </w:r>
      <w:r>
        <w:rPr>
          <w:rFonts w:ascii="Times New Roman" w:eastAsia="Times New Roman" w:hAnsi="Times New Roman" w:cs="Times New Roman"/>
          <w:b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классы</w:t>
      </w:r>
    </w:p>
    <w:p w:rsidR="00EF194C" w:rsidRDefault="00EF194C"/>
    <w:p w:rsidR="008A196F" w:rsidRDefault="008A196F" w:rsidP="007120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96F">
        <w:rPr>
          <w:rFonts w:ascii="Times New Roman" w:hAnsi="Times New Roman" w:cs="Times New Roman"/>
          <w:sz w:val="28"/>
          <w:szCs w:val="28"/>
        </w:rPr>
        <w:t xml:space="preserve">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В программе по математике учтены идеи и положения «Концепции развития математического образования в Российской Федерации». В соответствии с названием концепции математическое образование должно, в частности, решать задачу обеспечения необходимого стране числа обучающихся, математическая подготовка которых достаточна для продолжения образования по различным направлениям, включая преподавание математики, математические исследования, работу в сфере информационных технологий и других, а также обеспечения для каждого обучающегося возможности достижения математической подготовки в соответствии с необходимым ему уровнем. Именно на решение этих задач нацелена программа по математике углублённого уровня. 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подготовки. Это обусловлено тем, что в наши дни растёт число специальностей,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обучающихся, для которых математика становится значимым предметом, фундаментом образования, существенно расширяется. В него входят не только обучающиеся, планирующие заниматься творческой и исследовательской работой в области математики, информатики, физики, экономики и в других областях, но и те, кому математика нужна для использования в профессиях, не связанных непосредственно с ней. Прикладная значимость математики обусловлена тем, что её предметом являются фундаментальные структуры нашего мира: пространственные формы и количественные отношения, функциональные зависимости и категории неопределённости,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</w:t>
      </w:r>
      <w:r w:rsidRPr="008A196F">
        <w:rPr>
          <w:rFonts w:ascii="Times New Roman" w:hAnsi="Times New Roman" w:cs="Times New Roman"/>
          <w:sz w:val="28"/>
          <w:szCs w:val="28"/>
        </w:rPr>
        <w:lastRenderedPageBreak/>
        <w:t xml:space="preserve">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Во многих сферах профессиональной деятельности требуются умения выполнять расчёты, составлять алгоритмы, применять формулы, проводить геометрические измерения и построения, читать, обрабатывать, интерпретировать и представлять информацию в виде таблиц, диаграмм и графиков, понимать вероятностный характер случайных событий. 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формируют логический стиль мышления. Ведущая роль принадлежит математике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– основы для организации учебной деятельности на уроках математики – развиваются творческая и прикладная стороны мышления. 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:rsidR="008A196F" w:rsidRDefault="008A196F" w:rsidP="007120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96F">
        <w:rPr>
          <w:rFonts w:ascii="Times New Roman" w:hAnsi="Times New Roman" w:cs="Times New Roman"/>
          <w:sz w:val="28"/>
          <w:szCs w:val="28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Приоритетными целями обучения математике в 10–11 классах на углублённом уровне продолжают оставаться: формирование центральных математических понятий (число, величина, геометрическая фигура, переменная, вероятность, функция, </w:t>
      </w:r>
      <w:r w:rsidRPr="008A196F">
        <w:rPr>
          <w:rFonts w:ascii="Times New Roman" w:hAnsi="Times New Roman" w:cs="Times New Roman"/>
          <w:sz w:val="28"/>
          <w:szCs w:val="28"/>
        </w:rPr>
        <w:lastRenderedPageBreak/>
        <w:t xml:space="preserve">производная, интеграл), обеспечивающих преемственность и 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пониманию математики как части общей культуры человечества;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Основными линиями содержания математики в 10–11 классах углублённого уровня являются: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во ФГОС СОО требование «умение оперировать понятиями: определение, аксиома, теорема, следствие, свойство, признак, доказательство, равносильные формулировки, умение формулировать обратное и противоположное утверждение, приводить примеры и </w:t>
      </w:r>
      <w:proofErr w:type="spellStart"/>
      <w:r w:rsidRPr="008A196F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8A196F">
        <w:rPr>
          <w:rFonts w:ascii="Times New Roman" w:hAnsi="Times New Roman" w:cs="Times New Roman"/>
          <w:sz w:val="28"/>
          <w:szCs w:val="28"/>
        </w:rPr>
        <w:t xml:space="preserve">, использовать метод математической индукции, проводить доказательные рассуждения при решении задач, оценивать логическую правильность рассуждений» относится ко всем учебным курсам, а формирование логических умений распределяется по всем годам обучения на уровне среднего общего образования. В соответствии с ФГОС СОО математика является обязательным предметом на данном уровне образования. Настоящей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 Общее количество часов, направленных на изучение </w:t>
      </w:r>
      <w:r w:rsidRPr="008A196F">
        <w:rPr>
          <w:rFonts w:ascii="Times New Roman" w:hAnsi="Times New Roman" w:cs="Times New Roman"/>
          <w:sz w:val="28"/>
          <w:szCs w:val="28"/>
        </w:rPr>
        <w:lastRenderedPageBreak/>
        <w:t>математики на углубленном уровне – 544: в 10 классе – 272 часа (8 часов в неделю), в 11 классе – 272 часа (8 часов в неделю).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Учебный курс «Алгебра и начала математического анализа» является одним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из наиболее значимых в программе среднего общего образования, поскольку,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с одной стороны, он обеспечивает инструментальную базу для изучения всех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естественно-научных курсов, а с другой стороны, формирует логическое и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абстрактное мышление обучающихся на уровне, необходимом для освоения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информатики, обществознания, истории, словесности и других дисциплин.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В рамках данного учебного курса обучающиеся овладевают универсальным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языком современной науки, которая формулирует свои достижения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в математической форме.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Учебный курс алгебры и начал математического анализа закладывает основу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для успешного овладения законами физики, химии, биологии, понимания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основных тенденций развития экономики и общественной жизни, позволяет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ориентироваться в современных цифровых и компьютерных технологиях,</w:t>
      </w:r>
    </w:p>
    <w:p w:rsidR="00712079" w:rsidRPr="00712079" w:rsidRDefault="00712079" w:rsidP="007120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уверенно использовать их для дальнейшего образования и в повседневной</w:t>
      </w:r>
    </w:p>
    <w:p w:rsidR="00712079" w:rsidRPr="00712079" w:rsidRDefault="00712079" w:rsidP="007120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жизни. В то же время овладение абстрактными и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строгими конструкциями алгебры и математического анализа развивает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находить закономерности, обосновывать истинность, доказывать утверждения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с помощью индукции и рассуждать дедуктивно, использовать обобщение и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конкретизацию, абстрагирование и аналогию, формирует креативное</w:t>
      </w:r>
    </w:p>
    <w:p w:rsid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и критическое мышление.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На изучение учебного курса «Алгебра и начала математического анализа»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отводится 272 часа: в 10 классе – 136 часов (4 часа в неделю), в 11 классе –</w:t>
      </w:r>
    </w:p>
    <w:p w:rsid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136 часов (4 часа в неделю).</w:t>
      </w:r>
      <w:r w:rsidRPr="00712079">
        <w:rPr>
          <w:rFonts w:ascii="Times New Roman" w:hAnsi="Times New Roman" w:cs="Times New Roman"/>
          <w:sz w:val="28"/>
          <w:szCs w:val="28"/>
        </w:rPr>
        <w:cr/>
      </w:r>
    </w:p>
    <w:p w:rsidR="00712079" w:rsidRPr="00712079" w:rsidRDefault="00712079" w:rsidP="007120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Геометрия является одним из базовых курсов на уровне среднего общего</w:t>
      </w:r>
    </w:p>
    <w:p w:rsidR="00712079" w:rsidRPr="00712079" w:rsidRDefault="00712079" w:rsidP="007120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образования, так как обеспечивает возможность изучения дисциплин естественнонаучной направленности и предметов гуманитарного цикла. Поскольку 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 xml:space="preserve">мышление, формируемое при изучении обучающимися </w:t>
      </w:r>
      <w:r w:rsidRPr="00712079">
        <w:rPr>
          <w:rFonts w:ascii="Times New Roman" w:hAnsi="Times New Roman" w:cs="Times New Roman"/>
          <w:sz w:val="28"/>
          <w:szCs w:val="28"/>
        </w:rPr>
        <w:lastRenderedPageBreak/>
        <w:t>понятийных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геометрии, при доказательстве теорем и построении цепочки 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утверждений при решении геометрических задач, умение выдвигать и опровергать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гипотезы непосредственно используются при решении задач естественно-научного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цикла, в частности физических задач.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Цель освоения программы учебного курса «Геометрия» на углублённом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уровне – развитие индивидуальных способностей обучающихся при изучении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геометрии, как составляющей предметной области «Математика и информатика»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через обеспечение возможности приобретения и использования более глубоких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геометрических знаний и действий, специфичных геометрии, и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для успешного профессионального образования, связанного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математики.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Приоритетными задачами курса геометрии на углублённом уровне,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расширяющими и усиливающими курс базового уровня, являются: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расширение представления о геометрии как части мировой культуры и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формирование осознания взаимосвязи геометрии с окружающим миром;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формирование представления о пространственных фигурах как о важнейших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математических моделях, позволяющих описывать и изучать разные явления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окружающего мира, знание понятийного аппарата по разделу «Стереометрия»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учебного курса геометрии;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формирование умения владеть основными понятиями о пространственных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фигурах и их основными свойствами, знание теорем, формул и умение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их применять, умения доказывать теоремы и находить нестандартные способы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решения задач;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формирование умения распознавать на чертежах, моделях и в реальном мире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многогранники и тела вращения, конструировать геометрические модели;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формирование понимания возможности аксиоматического построения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математических теорий, формирование понимания роли аксиоматики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при проведении рассуждений;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формирование умения владеть методами доказательств и алгоритмов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решения, умения их применять, проводить доказательные рассуждения в ходе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решения стереометрических задач и задач с практическим содержанием,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представления о необходимости доказательств при обосновании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математических утверждений и роли аксиоматики в проведении дедуктивных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рассуждений;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развитие и совершенствование интеллектуальных и творческих способностей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обучающихся, познавательной активности, исследовательских умений,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критичности мышления, интереса к изучению геометрии;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грамотности, релевантной геометрии: умения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распознавать проявления геометрических понятий, объектов и закономерностей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в реальных жизненных ситуациях и при изучении других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предметов, проявления зависимостей и закономерностей, моделирования реальных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ситуаций, исследования построенных моделей, интерпретации 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Основными содержательными линиями учебного курса «Геометрия»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в 10–11 классах являются: «Прямые и плоскости в пространстве»,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«Многогранники», «Тела вращения», «Векторы и координаты в пространстве»,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«Движения в пространстве».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Сформулированное в ФГОС СОО требование «уметь оперировать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понятиями», релевантных геометрии на углублённом уровне обучения в 10–11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классах, относится ко всем содержательным линиям учебного курса, а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формирование логических умений распределяется не только по содержательным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линиям, но и по годам обучения. Содержание образования,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предметным результатам освоения Федеральной рабочей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распределённым по годам обучения, структурировано таким образом,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ко всем основным, принципиальным вопросам обучающиеся обращались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неоднократно. Это позволяет организовать овладение геометрическими понятиями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и навыками последовательно и поступательно, с соблюдением принципа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преемственности, а новые знания включать в общую систему 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представлений обучающихся, расширяя и углубляя её, образуя прочные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множественные связи.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Переход к изучению геометрии на углублённом уровне позволяет: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создать условия для дифференциации обучения, построения индивидуальных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образовательных программ, обеспечить углублённое изучение геометрии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как составляющей учебного предмета «Математика»;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подготовить обучающихся к продолжению изучения математики с учётом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lastRenderedPageBreak/>
        <w:t>выбора будущей профессии, обеспечивая преемственность между общим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и профессиональным образованием.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На изучение учебного курса «Геометрия» на углубленном уровне отводится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204 часа: в 10 классе – 102 часа (3 часа в неделю), в 11 классе – 102 часа</w:t>
      </w:r>
    </w:p>
    <w:p w:rsid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(3 часа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Учебный курс «Вероятность и статистика» углублённого уровня является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продолжением и развитием одноименного учебного курса углублённого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на уровне среднего общего образования. Учебный курс предназначен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для формирования у обучающихся статистической культуры и понимания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теории вероятностей как математического инструмента для изучения случайных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событий, величин и процессов. При изучении курса обогащаются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обучающихся о методах исследования изменчивого мира, развивается 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значимости и общности математических методов познания как 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части современного естественно-научного мировоззрения.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Содержание учебного курса направлено на закрепление знаний, полученных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при изучении курса на уровне основного общего образования, и на развитие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представлений о случайных величинах и взаимосвязях между ними на важных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примерах, сюжеты которых почерпнуты из окружающего мира. В результате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у обучающихся должно сформироваться представление о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употребительных и общих математических моделях, используемых для 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антропометрических и демографических величин, погрешностей в различные 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измерениях, длительности безотказной работы технических устройств,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характеристик массовых явлений и процессов в обществе. Учебный курс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базой для освоения вероятностно-статистических методов,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специалистам не только инженерных специальностей, но также социальных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психологических, поскольку современные общественные науки в 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мере используют аппарат анализа больших данных. Центральную часть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курса занимает обсуждение закона больших чисел – фундаментального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природы, имеющего математическую формализацию.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В соответствии с указанными целями в структуре учебного курса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«Вероятность и статистика» на углублённом уровне выделены основные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содержательные линии: «Случайные события и вероятности» и «Случайные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величины и закон больших чисел».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lastRenderedPageBreak/>
        <w:t>Помимо основных линий в учебный курс включены элементы теории графов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и теории множеств, необходимые для полноценного освоения материала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учебного курса и смежных математических учебных курсов.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Содержание линии «Случайные события и вероятности» служит основой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для формирования представлений о распределении вероятностей между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значениями случайных величин. Важную часть в этой содержательной линии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занимает изучение геометрического и биномиального распределений и 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с их непрерывными аналогами – показательным и нормальным распределениями.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Темы, связанные с непрерывными случайными величинами и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распределениями, акцентируют внимание обучающихся на описании и 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случайных явлений с помощью непрерывных функций. Основное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уделяется показательному и нормальному распределениям.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В учебном курсе предусматривается ознакомительное изучение связи между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случайными величинами и описание этой связи с помощью коэффициента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корреляции и его выборочного аналога. Эти элементы содержания развивают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«Диаграммы рассеивания», изученную на уровне основного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и во многом опираются на сведения из курсов алгебры и геометрии.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Ещё один элемент содержания, который предлагается на ознакомительном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уровне – последовательность случайных независимых событий, наступающих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в единицу времени. Ознакомление с распределением вероятностей количества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таких событий носит развивающий характер и является актуальным для будущих</w:t>
      </w:r>
      <w:r w:rsidR="00F853BE">
        <w:rPr>
          <w:rFonts w:ascii="Times New Roman" w:hAnsi="Times New Roman" w:cs="Times New Roman"/>
          <w:sz w:val="28"/>
          <w:szCs w:val="28"/>
        </w:rPr>
        <w:t xml:space="preserve"> </w:t>
      </w:r>
      <w:r w:rsidRPr="00712079">
        <w:rPr>
          <w:rFonts w:ascii="Times New Roman" w:hAnsi="Times New Roman" w:cs="Times New Roman"/>
          <w:sz w:val="28"/>
          <w:szCs w:val="28"/>
        </w:rPr>
        <w:t>абитуриентов, поступающих на учебные специальности, связанные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с общественными науками, психологией и управлением.</w:t>
      </w:r>
    </w:p>
    <w:p w:rsidR="00712079" w:rsidRPr="00712079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На изучение учебного курса «Вероятность и статистика» на углубленном</w:t>
      </w:r>
    </w:p>
    <w:p w:rsidR="00712079" w:rsidRPr="008A196F" w:rsidRDefault="00712079" w:rsidP="00712079">
      <w:pPr>
        <w:jc w:val="both"/>
        <w:rPr>
          <w:rFonts w:ascii="Times New Roman" w:hAnsi="Times New Roman" w:cs="Times New Roman"/>
          <w:sz w:val="28"/>
          <w:szCs w:val="28"/>
        </w:rPr>
      </w:pPr>
      <w:r w:rsidRPr="00712079">
        <w:rPr>
          <w:rFonts w:ascii="Times New Roman" w:hAnsi="Times New Roman" w:cs="Times New Roman"/>
          <w:sz w:val="28"/>
          <w:szCs w:val="28"/>
        </w:rPr>
        <w:t>уровне отводится 68 часов: в 10 классе – 34 часа (1 час в неделю), в 11 классе –</w:t>
      </w:r>
      <w:r w:rsidR="00F853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12079">
        <w:rPr>
          <w:rFonts w:ascii="Times New Roman" w:hAnsi="Times New Roman" w:cs="Times New Roman"/>
          <w:sz w:val="28"/>
          <w:szCs w:val="28"/>
        </w:rPr>
        <w:t>34 часа (1 час в неделю).</w:t>
      </w:r>
    </w:p>
    <w:sectPr w:rsidR="00712079" w:rsidRPr="008A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D4"/>
    <w:rsid w:val="000B11D4"/>
    <w:rsid w:val="00712079"/>
    <w:rsid w:val="008A196F"/>
    <w:rsid w:val="00AB78E9"/>
    <w:rsid w:val="00EF194C"/>
    <w:rsid w:val="00F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C6E49-C1DE-4C7F-B2A1-2CE42CA4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E9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4</cp:revision>
  <dcterms:created xsi:type="dcterms:W3CDTF">2023-08-28T19:23:00Z</dcterms:created>
  <dcterms:modified xsi:type="dcterms:W3CDTF">2023-08-28T19:33:00Z</dcterms:modified>
</cp:coreProperties>
</file>